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Grilledutableau"/>
        <w:tblW w:w="10065" w:type="dxa"/>
        <w:tblInd w:w="-572" w:type="dxa"/>
        <w:tblLook w:val="04A0" w:firstRow="1" w:lastRow="0" w:firstColumn="1" w:lastColumn="0" w:noHBand="0" w:noVBand="1"/>
      </w:tblPr>
      <w:tblGrid>
        <w:gridCol w:w="1560"/>
        <w:gridCol w:w="8505"/>
      </w:tblGrid>
      <w:tr w:rsidR="0046607B" w14:paraId="37C6A203" w14:textId="77777777" w:rsidTr="2C519723">
        <w:tc>
          <w:tcPr>
            <w:tcW w:w="1560" w:type="dxa"/>
            <w:vAlign w:val="center"/>
          </w:tcPr>
          <w:p w14:paraId="0D5A35A8" w14:textId="2527F36E" w:rsidR="0046607B" w:rsidRPr="009404C2" w:rsidRDefault="0046607B" w:rsidP="009404C2">
            <w:pPr>
              <w:jc w:val="center"/>
              <w:rPr>
                <w:b/>
                <w:bCs/>
              </w:rPr>
            </w:pPr>
            <w:bookmarkStart w:id="0" w:name="_Hlk164940051"/>
            <w:r w:rsidRPr="009404C2">
              <w:rPr>
                <w:b/>
                <w:bCs/>
              </w:rPr>
              <w:t>Axe</w:t>
            </w:r>
            <w:r w:rsidR="00B019D6">
              <w:rPr>
                <w:b/>
                <w:bCs/>
              </w:rPr>
              <w:t xml:space="preserve"> </w:t>
            </w:r>
            <w:r w:rsidR="006F2CE2">
              <w:rPr>
                <w:b/>
                <w:bCs/>
              </w:rPr>
              <w:t>4</w:t>
            </w:r>
          </w:p>
        </w:tc>
        <w:tc>
          <w:tcPr>
            <w:tcW w:w="8505" w:type="dxa"/>
          </w:tcPr>
          <w:p w14:paraId="58C92614" w14:textId="0D26FA1D" w:rsidR="0046607B" w:rsidRPr="00F01F3C" w:rsidRDefault="00F9270A" w:rsidP="003147B9">
            <w:pPr>
              <w:autoSpaceDE w:val="0"/>
              <w:autoSpaceDN w:val="0"/>
              <w:adjustRightInd w:val="0"/>
              <w:jc w:val="center"/>
              <w:rPr>
                <w:rFonts w:ascii="CIDFont+F3" w:hAnsi="CIDFont+F3" w:cs="CIDFont+F3"/>
                <w:b/>
                <w:bCs/>
                <w:color w:val="009239"/>
                <w:kern w:val="0"/>
                <w:sz w:val="24"/>
                <w:szCs w:val="24"/>
              </w:rPr>
            </w:pPr>
            <w:r w:rsidRPr="003147B9">
              <w:rPr>
                <w:rFonts w:ascii="CIDFont+F3" w:hAnsi="CIDFont+F3" w:cs="CIDFont+F3"/>
                <w:b/>
                <w:bCs/>
                <w:kern w:val="0"/>
                <w:sz w:val="24"/>
                <w:szCs w:val="24"/>
              </w:rPr>
              <w:t>Préservation du bon état de santé des abeilles et autres pollinisateurs</w:t>
            </w:r>
          </w:p>
        </w:tc>
      </w:tr>
      <w:tr w:rsidR="0046607B" w14:paraId="3E974957" w14:textId="77777777" w:rsidTr="2C519723">
        <w:trPr>
          <w:trHeight w:val="660"/>
        </w:trPr>
        <w:tc>
          <w:tcPr>
            <w:tcW w:w="1560" w:type="dxa"/>
            <w:vAlign w:val="center"/>
          </w:tcPr>
          <w:p w14:paraId="5A421146" w14:textId="44C39256" w:rsidR="0046607B" w:rsidRPr="009404C2" w:rsidRDefault="0046607B" w:rsidP="009404C2">
            <w:pPr>
              <w:jc w:val="center"/>
              <w:rPr>
                <w:b/>
                <w:bCs/>
              </w:rPr>
            </w:pPr>
            <w:r w:rsidRPr="009404C2">
              <w:rPr>
                <w:b/>
                <w:bCs/>
              </w:rPr>
              <w:t>Action</w:t>
            </w:r>
            <w:r w:rsidR="00B019D6">
              <w:rPr>
                <w:b/>
                <w:bCs/>
              </w:rPr>
              <w:t xml:space="preserve"> </w:t>
            </w:r>
            <w:r w:rsidR="006F2CE2">
              <w:rPr>
                <w:b/>
                <w:bCs/>
              </w:rPr>
              <w:t>2</w:t>
            </w:r>
          </w:p>
        </w:tc>
        <w:tc>
          <w:tcPr>
            <w:tcW w:w="8505" w:type="dxa"/>
            <w:vAlign w:val="center"/>
          </w:tcPr>
          <w:p w14:paraId="409703D8" w14:textId="77777777" w:rsidR="0046607B" w:rsidRDefault="006F2CE2" w:rsidP="003147B9">
            <w:pPr>
              <w:pStyle w:val="Default"/>
              <w:jc w:val="center"/>
              <w:rPr>
                <w:b/>
                <w:bCs/>
                <w:sz w:val="23"/>
                <w:szCs w:val="23"/>
              </w:rPr>
            </w:pPr>
            <w:r w:rsidRPr="003147B9">
              <w:rPr>
                <w:b/>
                <w:bCs/>
                <w:sz w:val="23"/>
                <w:szCs w:val="23"/>
              </w:rPr>
              <w:t>Renforcer la performance sanitaire des exploitations apicoles</w:t>
            </w:r>
          </w:p>
          <w:p w14:paraId="339D8F82" w14:textId="58446AEA" w:rsidR="003147B9" w:rsidRPr="003147B9" w:rsidRDefault="003147B9" w:rsidP="003147B9">
            <w:pPr>
              <w:pStyle w:val="Default"/>
              <w:jc w:val="center"/>
              <w:rPr>
                <w:sz w:val="23"/>
                <w:szCs w:val="23"/>
              </w:rPr>
            </w:pPr>
            <w:r w:rsidRPr="003147B9">
              <w:rPr>
                <w:sz w:val="23"/>
                <w:szCs w:val="23"/>
              </w:rPr>
              <w:t>- ADA GE</w:t>
            </w:r>
            <w:r w:rsidR="00743EA9">
              <w:rPr>
                <w:sz w:val="23"/>
                <w:szCs w:val="23"/>
              </w:rPr>
              <w:t xml:space="preserve"> et GDS</w:t>
            </w:r>
            <w:r w:rsidRPr="003147B9">
              <w:rPr>
                <w:sz w:val="23"/>
                <w:szCs w:val="23"/>
              </w:rPr>
              <w:t xml:space="preserve"> -</w:t>
            </w:r>
          </w:p>
        </w:tc>
      </w:tr>
      <w:tr w:rsidR="0046607B" w14:paraId="29833F62" w14:textId="77777777" w:rsidTr="2C519723">
        <w:trPr>
          <w:trHeight w:val="556"/>
        </w:trPr>
        <w:tc>
          <w:tcPr>
            <w:tcW w:w="1560" w:type="dxa"/>
            <w:vAlign w:val="center"/>
          </w:tcPr>
          <w:p w14:paraId="4CE563A6" w14:textId="77777777" w:rsidR="0046607B" w:rsidRPr="009404C2" w:rsidRDefault="0046607B" w:rsidP="009404C2">
            <w:pPr>
              <w:jc w:val="center"/>
              <w:rPr>
                <w:b/>
                <w:bCs/>
              </w:rPr>
            </w:pPr>
            <w:r w:rsidRPr="009404C2">
              <w:rPr>
                <w:b/>
                <w:bCs/>
              </w:rPr>
              <w:t>Priorité</w:t>
            </w:r>
          </w:p>
        </w:tc>
        <w:tc>
          <w:tcPr>
            <w:tcW w:w="8505" w:type="dxa"/>
            <w:vAlign w:val="center"/>
          </w:tcPr>
          <w:p w14:paraId="172CB75E" w14:textId="5196475B" w:rsidR="0046607B" w:rsidRDefault="003147B9" w:rsidP="00F67496">
            <w:r>
              <w:t>1</w:t>
            </w:r>
          </w:p>
        </w:tc>
      </w:tr>
      <w:tr w:rsidR="0046607B" w14:paraId="2D98E5EA" w14:textId="77777777" w:rsidTr="2C519723">
        <w:trPr>
          <w:trHeight w:val="1722"/>
        </w:trPr>
        <w:tc>
          <w:tcPr>
            <w:tcW w:w="1560" w:type="dxa"/>
            <w:vAlign w:val="center"/>
          </w:tcPr>
          <w:p w14:paraId="6920D17E" w14:textId="77777777" w:rsidR="0046607B" w:rsidRPr="009404C2" w:rsidRDefault="0046607B" w:rsidP="009404C2">
            <w:pPr>
              <w:jc w:val="center"/>
              <w:rPr>
                <w:b/>
                <w:bCs/>
              </w:rPr>
            </w:pPr>
            <w:r w:rsidRPr="009404C2">
              <w:rPr>
                <w:b/>
                <w:bCs/>
              </w:rPr>
              <w:t>Objectifs</w:t>
            </w:r>
          </w:p>
        </w:tc>
        <w:tc>
          <w:tcPr>
            <w:tcW w:w="8505" w:type="dxa"/>
            <w:vAlign w:val="center"/>
          </w:tcPr>
          <w:p w14:paraId="6B010AAB" w14:textId="5BBE4D5D" w:rsidR="00EE72CB" w:rsidRDefault="00EE72CB" w:rsidP="00F67496">
            <w:pPr>
              <w:pStyle w:val="Paragraphedeliste"/>
              <w:numPr>
                <w:ilvl w:val="0"/>
                <w:numId w:val="10"/>
              </w:numPr>
            </w:pPr>
            <w:r>
              <w:t>A</w:t>
            </w:r>
            <w:r w:rsidR="002C31CA">
              <w:t xml:space="preserve">ccompagner les apiculteurs dans des visites d’exploitations visant à améliorer </w:t>
            </w:r>
            <w:r w:rsidR="003147B9">
              <w:t>leurs pratiques sanitaires</w:t>
            </w:r>
            <w:r w:rsidR="000A4723">
              <w:t>.</w:t>
            </w:r>
          </w:p>
          <w:p w14:paraId="044DEA71" w14:textId="04CCC562" w:rsidR="00EE72CB" w:rsidRDefault="2C519723" w:rsidP="00F67496">
            <w:pPr>
              <w:pStyle w:val="Paragraphedeliste"/>
              <w:numPr>
                <w:ilvl w:val="0"/>
                <w:numId w:val="10"/>
              </w:numPr>
            </w:pPr>
            <w:r>
              <w:t xml:space="preserve">Engager et sensibiliser les apiculteurs pour qu’ils détectent les situations sanitaires critiques et qu’ils les déclarent à la DDPP pour les cas de MMA. </w:t>
            </w:r>
          </w:p>
          <w:p w14:paraId="5932D174" w14:textId="023C0E31" w:rsidR="00EE72CB" w:rsidRDefault="00EE72CB" w:rsidP="00F67496">
            <w:pPr>
              <w:pStyle w:val="Paragraphedeliste"/>
              <w:numPr>
                <w:ilvl w:val="0"/>
                <w:numId w:val="10"/>
              </w:numPr>
            </w:pPr>
            <w:r>
              <w:t xml:space="preserve">Transmettre </w:t>
            </w:r>
            <w:r w:rsidR="000A4723">
              <w:t>au plus grand nombre les bonnes pratiques apicoles.</w:t>
            </w:r>
          </w:p>
          <w:p w14:paraId="60DA310F" w14:textId="3C8F2D01" w:rsidR="00B113C4" w:rsidRDefault="003147B9" w:rsidP="00F67496">
            <w:pPr>
              <w:pStyle w:val="Paragraphedeliste"/>
              <w:numPr>
                <w:ilvl w:val="0"/>
                <w:numId w:val="10"/>
              </w:numPr>
            </w:pPr>
            <w:r>
              <w:t>Augmenter les connaissances des apiculteurs sur les bonnes pratiques sanitaires</w:t>
            </w:r>
            <w:r w:rsidR="000A4723">
              <w:t>.</w:t>
            </w:r>
          </w:p>
        </w:tc>
      </w:tr>
      <w:tr w:rsidR="0046607B" w14:paraId="6493FA08" w14:textId="77777777" w:rsidTr="2C519723">
        <w:trPr>
          <w:trHeight w:val="414"/>
        </w:trPr>
        <w:tc>
          <w:tcPr>
            <w:tcW w:w="1560" w:type="dxa"/>
            <w:vAlign w:val="center"/>
          </w:tcPr>
          <w:p w14:paraId="5DB91733" w14:textId="77777777" w:rsidR="0046607B" w:rsidRPr="009404C2" w:rsidRDefault="0046607B" w:rsidP="009404C2">
            <w:pPr>
              <w:jc w:val="center"/>
              <w:rPr>
                <w:b/>
                <w:bCs/>
              </w:rPr>
            </w:pPr>
            <w:r w:rsidRPr="009404C2">
              <w:rPr>
                <w:b/>
                <w:bCs/>
              </w:rPr>
              <w:t>Calendrier</w:t>
            </w:r>
          </w:p>
        </w:tc>
        <w:tc>
          <w:tcPr>
            <w:tcW w:w="8505" w:type="dxa"/>
            <w:vAlign w:val="center"/>
          </w:tcPr>
          <w:p w14:paraId="20BBED86" w14:textId="2DEF4BB0" w:rsidR="00B113C4" w:rsidRDefault="00C1291E" w:rsidP="00DE546B">
            <w:r>
              <w:t>En permanence</w:t>
            </w:r>
            <w:r w:rsidR="00892263">
              <w:t> :</w:t>
            </w:r>
            <w:r>
              <w:t xml:space="preserve"> au fil de l’actualité sanitaire</w:t>
            </w:r>
            <w:r w:rsidR="00EE72CB">
              <w:t xml:space="preserve"> </w:t>
            </w:r>
            <w:r w:rsidR="00892263">
              <w:t>et du calendrier apicole</w:t>
            </w:r>
          </w:p>
        </w:tc>
      </w:tr>
      <w:tr w:rsidR="0046607B" w14:paraId="0FE7E4B4" w14:textId="77777777" w:rsidTr="2C519723">
        <w:tc>
          <w:tcPr>
            <w:tcW w:w="1560" w:type="dxa"/>
            <w:vAlign w:val="center"/>
          </w:tcPr>
          <w:p w14:paraId="1BEBE245" w14:textId="77777777" w:rsidR="0046607B" w:rsidRPr="009404C2" w:rsidRDefault="0046607B" w:rsidP="009404C2">
            <w:pPr>
              <w:jc w:val="center"/>
              <w:rPr>
                <w:b/>
                <w:bCs/>
              </w:rPr>
            </w:pPr>
            <w:r w:rsidRPr="009404C2">
              <w:rPr>
                <w:b/>
                <w:bCs/>
              </w:rPr>
              <w:t>Contexte</w:t>
            </w:r>
          </w:p>
        </w:tc>
        <w:tc>
          <w:tcPr>
            <w:tcW w:w="8505" w:type="dxa"/>
          </w:tcPr>
          <w:p w14:paraId="31AD76AF" w14:textId="16ADB599" w:rsidR="00660922" w:rsidRDefault="06C8B1F0" w:rsidP="00F9270A">
            <w:pPr>
              <w:jc w:val="both"/>
            </w:pPr>
            <w:r>
              <w:t>Les exploitations apicoles font face à des défis sanitaires qui affectent la santé des abeilles et la productivité des ruchers. Ces défis peuvent inclure des maladies, des virus, des parasites, ou des facteurs environnementaux négatifs. Il est important que tous les acteurs du sanitaire s’impliquent pour :</w:t>
            </w:r>
          </w:p>
          <w:p w14:paraId="68865596" w14:textId="16004519" w:rsidR="00660922" w:rsidRDefault="00660922" w:rsidP="00660922">
            <w:pPr>
              <w:pStyle w:val="Paragraphedeliste"/>
              <w:numPr>
                <w:ilvl w:val="0"/>
                <w:numId w:val="12"/>
              </w:numPr>
              <w:jc w:val="both"/>
            </w:pPr>
            <w:r>
              <w:t>F</w:t>
            </w:r>
            <w:r w:rsidR="00B113C4">
              <w:t>ormer et informer les apiculteurs</w:t>
            </w:r>
            <w:r>
              <w:t> ;</w:t>
            </w:r>
          </w:p>
          <w:p w14:paraId="3EBFD75F" w14:textId="3C8518E9" w:rsidR="00660922" w:rsidRDefault="00660922" w:rsidP="00660922">
            <w:pPr>
              <w:pStyle w:val="Paragraphedeliste"/>
              <w:numPr>
                <w:ilvl w:val="0"/>
                <w:numId w:val="11"/>
              </w:numPr>
              <w:jc w:val="both"/>
            </w:pPr>
            <w:r>
              <w:t>Pr</w:t>
            </w:r>
            <w:r w:rsidR="00B113C4">
              <w:t>oposer et rechercher des méthodes adapté</w:t>
            </w:r>
            <w:r w:rsidR="00E11527">
              <w:t>e</w:t>
            </w:r>
            <w:r w:rsidR="00B113C4">
              <w:t>s aux différents modèles d’exploitations afin de</w:t>
            </w:r>
            <w:r>
              <w:t xml:space="preserve"> :</w:t>
            </w:r>
          </w:p>
          <w:p w14:paraId="5988D9C4" w14:textId="769AF9DD" w:rsidR="00660922" w:rsidRDefault="06C8B1F0" w:rsidP="00660922">
            <w:pPr>
              <w:pStyle w:val="Paragraphedeliste"/>
              <w:numPr>
                <w:ilvl w:val="1"/>
                <w:numId w:val="11"/>
              </w:numPr>
              <w:jc w:val="both"/>
            </w:pPr>
            <w:r>
              <w:t>Minimiser l’impact des problèmes sanitaires sur la pérennité de l’exploitation ;</w:t>
            </w:r>
          </w:p>
          <w:p w14:paraId="435430FB" w14:textId="62296CC5" w:rsidR="00582C69" w:rsidRDefault="06C8B1F0" w:rsidP="006F2CE2">
            <w:pPr>
              <w:pStyle w:val="Paragraphedeliste"/>
              <w:numPr>
                <w:ilvl w:val="1"/>
                <w:numId w:val="11"/>
              </w:numPr>
              <w:jc w:val="both"/>
            </w:pPr>
            <w:r>
              <w:t xml:space="preserve">Assurer une préservation des autres pollinisateurs et éviter le transfert de parasites inter espèces. </w:t>
            </w:r>
            <w:r w:rsidR="00D232D7">
              <w:t xml:space="preserve"> </w:t>
            </w:r>
          </w:p>
        </w:tc>
      </w:tr>
      <w:tr w:rsidR="0046607B" w14:paraId="2C672376" w14:textId="77777777" w:rsidTr="2C519723">
        <w:tc>
          <w:tcPr>
            <w:tcW w:w="1560" w:type="dxa"/>
            <w:vAlign w:val="center"/>
          </w:tcPr>
          <w:p w14:paraId="4E3D86DC" w14:textId="77777777" w:rsidR="0046607B" w:rsidRPr="009404C2" w:rsidRDefault="0046607B" w:rsidP="009404C2">
            <w:pPr>
              <w:jc w:val="center"/>
              <w:rPr>
                <w:b/>
                <w:bCs/>
              </w:rPr>
            </w:pPr>
            <w:r w:rsidRPr="009404C2">
              <w:rPr>
                <w:b/>
                <w:bCs/>
              </w:rPr>
              <w:t>Description</w:t>
            </w:r>
          </w:p>
        </w:tc>
        <w:tc>
          <w:tcPr>
            <w:tcW w:w="8505" w:type="dxa"/>
          </w:tcPr>
          <w:p w14:paraId="4B711080" w14:textId="77777777" w:rsidR="008D09AA" w:rsidRPr="008D09AA" w:rsidRDefault="008D09AA" w:rsidP="008D09AA">
            <w:pPr>
              <w:widowControl w:val="0"/>
              <w:spacing w:before="80"/>
              <w:rPr>
                <w:b/>
                <w:bCs/>
              </w:rPr>
            </w:pPr>
            <w:r w:rsidRPr="008D09AA">
              <w:rPr>
                <w:b/>
                <w:bCs/>
              </w:rPr>
              <w:t>Accompagner les apiculteurs lors des visites sanitaires :</w:t>
            </w:r>
          </w:p>
          <w:p w14:paraId="4B92CA2D" w14:textId="3FA14997" w:rsidR="008D09AA" w:rsidRDefault="06C8B1F0" w:rsidP="06C8B1F0">
            <w:pPr>
              <w:pStyle w:val="Paragraphedeliste"/>
              <w:widowControl w:val="0"/>
              <w:numPr>
                <w:ilvl w:val="0"/>
                <w:numId w:val="9"/>
              </w:numPr>
              <w:spacing w:before="80"/>
              <w:jc w:val="both"/>
            </w:pPr>
            <w:r>
              <w:t>Promouvoir le réseau de Techniciens Sanitaires Apicoles (TSA) formés pour réaliser des visites de suivi sanitaire dans les exploitations.</w:t>
            </w:r>
          </w:p>
          <w:p w14:paraId="59630BB8" w14:textId="06693500" w:rsidR="008D09AA" w:rsidRDefault="06C8B1F0" w:rsidP="06C8B1F0">
            <w:pPr>
              <w:pStyle w:val="Paragraphedeliste"/>
              <w:widowControl w:val="0"/>
              <w:numPr>
                <w:ilvl w:val="0"/>
                <w:numId w:val="9"/>
              </w:numPr>
              <w:spacing w:before="80"/>
              <w:jc w:val="both"/>
            </w:pPr>
            <w:r>
              <w:t>Organiser des visites régulières pour évaluer l'état sanitaire du cheptel et conseiller les apiculteurs sur les bonnes pratiques (GDS, ADA).</w:t>
            </w:r>
          </w:p>
          <w:p w14:paraId="47C576D9" w14:textId="77777777" w:rsidR="008D09AA" w:rsidRDefault="06C8B1F0" w:rsidP="06C8B1F0">
            <w:pPr>
              <w:widowControl w:val="0"/>
              <w:spacing w:before="80"/>
              <w:jc w:val="both"/>
            </w:pPr>
            <w:r w:rsidRPr="06C8B1F0">
              <w:rPr>
                <w:b/>
                <w:bCs/>
              </w:rPr>
              <w:t>Favoriser l'engagement des apiculteurs dans les domaines sanitaires</w:t>
            </w:r>
            <w:r>
              <w:t xml:space="preserve"> :</w:t>
            </w:r>
          </w:p>
          <w:p w14:paraId="1EE0F522" w14:textId="55F89AB0" w:rsidR="008D09AA" w:rsidRDefault="06C8B1F0" w:rsidP="06C8B1F0">
            <w:pPr>
              <w:pStyle w:val="Paragraphedeliste"/>
              <w:widowControl w:val="0"/>
              <w:numPr>
                <w:ilvl w:val="0"/>
                <w:numId w:val="9"/>
              </w:numPr>
              <w:spacing w:before="80"/>
              <w:ind w:left="790" w:hanging="246"/>
              <w:jc w:val="both"/>
            </w:pPr>
            <w:r>
              <w:t xml:space="preserve">Encourager les apiculteurs à déclarer les mortalités massives aigues de leurs colonies (voir </w:t>
            </w:r>
            <w:hyperlink r:id="rId7">
              <w:r w:rsidRPr="06C8B1F0">
                <w:rPr>
                  <w:rStyle w:val="Lienhypertexte"/>
                </w:rPr>
                <w:t xml:space="preserve">guide MMA </w:t>
              </w:r>
              <w:proofErr w:type="spellStart"/>
              <w:r w:rsidRPr="06C8B1F0">
                <w:rPr>
                  <w:rStyle w:val="Lienhypertexte"/>
                </w:rPr>
                <w:t>Interapi</w:t>
              </w:r>
              <w:proofErr w:type="spellEnd"/>
            </w:hyperlink>
            <w:r>
              <w:t>).</w:t>
            </w:r>
          </w:p>
          <w:p w14:paraId="0E865A61" w14:textId="77777777" w:rsidR="002579F3" w:rsidRDefault="06C8B1F0" w:rsidP="06C8B1F0">
            <w:pPr>
              <w:pStyle w:val="Paragraphedeliste"/>
              <w:widowControl w:val="0"/>
              <w:numPr>
                <w:ilvl w:val="0"/>
                <w:numId w:val="9"/>
              </w:numPr>
              <w:spacing w:before="80"/>
              <w:ind w:left="790" w:hanging="246"/>
              <w:jc w:val="both"/>
            </w:pPr>
            <w:r>
              <w:t>Soutenir les investissements dans les équipements sanitaires modernes et bonnes pratiques d’entretien des équipements pour réduire les risques de maladies.</w:t>
            </w:r>
          </w:p>
          <w:p w14:paraId="32484147" w14:textId="4A205EB6" w:rsidR="008D09AA" w:rsidRDefault="06C8B1F0" w:rsidP="06C8B1F0">
            <w:pPr>
              <w:pStyle w:val="Paragraphedeliste"/>
              <w:widowControl w:val="0"/>
              <w:numPr>
                <w:ilvl w:val="0"/>
                <w:numId w:val="9"/>
              </w:numPr>
              <w:spacing w:before="80"/>
              <w:ind w:left="790" w:hanging="246"/>
              <w:jc w:val="both"/>
            </w:pPr>
            <w:r>
              <w:t xml:space="preserve">Partage d’enquêtes auprès des api : enquête nationale perte hivernale </w:t>
            </w:r>
            <w:hyperlink r:id="rId8">
              <w:r w:rsidRPr="06C8B1F0">
                <w:rPr>
                  <w:rStyle w:val="Lienhypertexte"/>
                </w:rPr>
                <w:t>analyse des 10 ans par l’ADA</w:t>
              </w:r>
            </w:hyperlink>
            <w:r>
              <w:t xml:space="preserve">, réseau de comptage des varroas du GDS, </w:t>
            </w:r>
            <w:hyperlink r:id="rId9">
              <w:r w:rsidRPr="06C8B1F0">
                <w:rPr>
                  <w:rStyle w:val="Lienhypertexte"/>
                </w:rPr>
                <w:t>questionnaire d'autoévaluation :</w:t>
              </w:r>
            </w:hyperlink>
            <w:r>
              <w:t xml:space="preserve"> La biosécurité au rucher du GDS.</w:t>
            </w:r>
          </w:p>
          <w:p w14:paraId="20448E1D" w14:textId="3DE3B110" w:rsidR="006C3600" w:rsidRPr="008D09AA" w:rsidRDefault="006C3600" w:rsidP="06C8B1F0">
            <w:pPr>
              <w:pStyle w:val="Paragraphedeliste"/>
              <w:widowControl w:val="0"/>
              <w:numPr>
                <w:ilvl w:val="0"/>
                <w:numId w:val="9"/>
              </w:numPr>
              <w:spacing w:before="80"/>
              <w:ind w:left="790" w:hanging="246"/>
              <w:jc w:val="both"/>
            </w:pPr>
            <w:r>
              <w:t>Partage d’informations sur le dispositif OMAA</w:t>
            </w:r>
            <w:r w:rsidR="00A848C4">
              <w:t xml:space="preserve"> lorsque ce dernier sera déployé en Grand Est (source DRAAF</w:t>
            </w:r>
            <w:r w:rsidR="00C96609">
              <w:t xml:space="preserve">, biblio : </w:t>
            </w:r>
            <w:r w:rsidR="00C96609" w:rsidRPr="00C96609">
              <w:t>https://www.plateforme-esa.fr/fr/observatoire-des-mortalites-et-des-affaiblissements-de-labeille-mellifere-omaa</w:t>
            </w:r>
            <w:r w:rsidR="00A848C4">
              <w:t>).</w:t>
            </w:r>
          </w:p>
          <w:p w14:paraId="59D0BC61" w14:textId="77777777" w:rsidR="008D09AA" w:rsidRPr="008D09AA" w:rsidRDefault="06C8B1F0" w:rsidP="06C8B1F0">
            <w:pPr>
              <w:widowControl w:val="0"/>
              <w:spacing w:before="80"/>
              <w:jc w:val="both"/>
              <w:rPr>
                <w:b/>
                <w:bCs/>
              </w:rPr>
            </w:pPr>
            <w:r w:rsidRPr="06C8B1F0">
              <w:rPr>
                <w:b/>
                <w:bCs/>
              </w:rPr>
              <w:t>Formation et information des apiculteurs sur les aspects sanitaires :</w:t>
            </w:r>
          </w:p>
          <w:p w14:paraId="37D7BB4B" w14:textId="52A1331E" w:rsidR="008D09AA" w:rsidRDefault="06C8B1F0" w:rsidP="06C8B1F0">
            <w:pPr>
              <w:pStyle w:val="Paragraphedeliste"/>
              <w:widowControl w:val="0"/>
              <w:numPr>
                <w:ilvl w:val="0"/>
                <w:numId w:val="9"/>
              </w:numPr>
              <w:spacing w:before="80"/>
              <w:jc w:val="both"/>
            </w:pPr>
            <w:r>
              <w:t>Organiser des sessions de formation continue sur les enjeux sanitaires, la détection précoce des maladies et les traitements appropriés. (Rencontres sanitaires, formations ADA bonnes pratiques et hygiène, formation comptage GDS…).</w:t>
            </w:r>
          </w:p>
          <w:p w14:paraId="1E2AA3DD" w14:textId="0BB03797" w:rsidR="00E112FB" w:rsidRDefault="06C8B1F0" w:rsidP="06C8B1F0">
            <w:pPr>
              <w:pStyle w:val="Paragraphedeliste"/>
              <w:widowControl w:val="0"/>
              <w:numPr>
                <w:ilvl w:val="0"/>
                <w:numId w:val="9"/>
              </w:numPr>
              <w:spacing w:before="80"/>
              <w:jc w:val="both"/>
            </w:pPr>
            <w:r>
              <w:t>Diffuser régulièrement des informations sanitaires via des newsletters et autres canaux de communication de la filière. (</w:t>
            </w:r>
            <w:proofErr w:type="spellStart"/>
            <w:r>
              <w:t>InfoRapid</w:t>
            </w:r>
            <w:proofErr w:type="spellEnd"/>
            <w:r>
              <w:t xml:space="preserve"> ADA, newsletter SNGTV, gazette GDS, </w:t>
            </w:r>
            <w:proofErr w:type="spellStart"/>
            <w:r>
              <w:t>flash’abeille</w:t>
            </w:r>
            <w:proofErr w:type="spellEnd"/>
            <w:r>
              <w:t>…).</w:t>
            </w:r>
          </w:p>
          <w:p w14:paraId="72914898" w14:textId="48C2EC96" w:rsidR="00E112FB" w:rsidRDefault="06C8B1F0" w:rsidP="06C8B1F0">
            <w:pPr>
              <w:pStyle w:val="Paragraphedeliste"/>
              <w:widowControl w:val="0"/>
              <w:numPr>
                <w:ilvl w:val="0"/>
                <w:numId w:val="9"/>
              </w:numPr>
              <w:spacing w:before="80"/>
              <w:jc w:val="both"/>
            </w:pPr>
            <w:r>
              <w:t>Partager les fiches techniques de bonnes pratiques sanitaires (ADA et GDS).</w:t>
            </w:r>
          </w:p>
          <w:p w14:paraId="20E12985" w14:textId="79894986" w:rsidR="00E34DD4" w:rsidRDefault="06C8B1F0" w:rsidP="06C8B1F0">
            <w:pPr>
              <w:pStyle w:val="Paragraphedeliste"/>
              <w:widowControl w:val="0"/>
              <w:numPr>
                <w:ilvl w:val="0"/>
                <w:numId w:val="9"/>
              </w:numPr>
              <w:spacing w:before="80"/>
              <w:jc w:val="both"/>
            </w:pPr>
            <w:r>
              <w:t xml:space="preserve">Diffuser la vidéo des conférences des rencontres sanitaires gratuites et disponibles en ligne : </w:t>
            </w:r>
            <w:hyperlink r:id="rId10">
              <w:r w:rsidRPr="06C8B1F0">
                <w:rPr>
                  <w:rStyle w:val="Lienhypertexte"/>
                </w:rPr>
                <w:t>https://www.youtube.com/@adagrandest-</w:t>
              </w:r>
              <w:r w:rsidRPr="06C8B1F0">
                <w:rPr>
                  <w:rStyle w:val="Lienhypertexte"/>
                </w:rPr>
                <w:lastRenderedPageBreak/>
                <w:t>apiculture/videos</w:t>
              </w:r>
            </w:hyperlink>
          </w:p>
          <w:p w14:paraId="10E14029" w14:textId="6770EB20" w:rsidR="006C7255" w:rsidRDefault="008D09AA" w:rsidP="00E34DD4">
            <w:pPr>
              <w:widowControl w:val="0"/>
              <w:spacing w:before="80"/>
              <w:jc w:val="both"/>
            </w:pPr>
            <w:r>
              <w:t>Ces mesures visent à améliorer la gestion sanitaire des ruchers, à prévenir la propagation des maladies et à renforcer la résilience des exploitations apicoles face aux défis sanitaires</w:t>
            </w:r>
            <w:r w:rsidR="00EB188F">
              <w:t xml:space="preserve"> et climatiques</w:t>
            </w:r>
            <w:r>
              <w:t>. L'objectif est d'accompagner les apiculteurs dans l'adoption de pratiques sanitaires optimales pour maintenir la santé de leurs colonies et la productivité de leurs exploitations.</w:t>
            </w:r>
          </w:p>
        </w:tc>
      </w:tr>
      <w:tr w:rsidR="0046607B" w14:paraId="31A64B77" w14:textId="77777777" w:rsidTr="2C519723">
        <w:trPr>
          <w:trHeight w:val="878"/>
        </w:trPr>
        <w:tc>
          <w:tcPr>
            <w:tcW w:w="1560" w:type="dxa"/>
            <w:vAlign w:val="center"/>
          </w:tcPr>
          <w:p w14:paraId="0BC8330C" w14:textId="77777777" w:rsidR="0046607B" w:rsidRPr="009404C2" w:rsidRDefault="0046607B" w:rsidP="009404C2">
            <w:pPr>
              <w:jc w:val="center"/>
              <w:rPr>
                <w:b/>
                <w:bCs/>
              </w:rPr>
            </w:pPr>
            <w:r w:rsidRPr="009404C2">
              <w:rPr>
                <w:b/>
                <w:bCs/>
              </w:rPr>
              <w:lastRenderedPageBreak/>
              <w:t>Action(s) associée(s)</w:t>
            </w:r>
          </w:p>
        </w:tc>
        <w:tc>
          <w:tcPr>
            <w:tcW w:w="8505" w:type="dxa"/>
          </w:tcPr>
          <w:p w14:paraId="41E59528" w14:textId="27A85C77" w:rsidR="008D09AA" w:rsidRDefault="004506BE" w:rsidP="00906905">
            <w:r>
              <w:t>Axe 2 – Action 1</w:t>
            </w:r>
          </w:p>
          <w:p w14:paraId="1A5B0A49" w14:textId="7F4F7E2C" w:rsidR="004506BE" w:rsidRDefault="00BD2330" w:rsidP="00906905">
            <w:r>
              <w:t>Axe 4 – Action 1</w:t>
            </w:r>
          </w:p>
        </w:tc>
      </w:tr>
      <w:tr w:rsidR="0046607B" w14:paraId="1A7A76D2" w14:textId="77777777" w:rsidTr="2C519723">
        <w:tc>
          <w:tcPr>
            <w:tcW w:w="1560" w:type="dxa"/>
            <w:vAlign w:val="center"/>
          </w:tcPr>
          <w:p w14:paraId="53A9EFDE" w14:textId="77777777" w:rsidR="0046607B" w:rsidRPr="009404C2" w:rsidRDefault="0046607B" w:rsidP="009404C2">
            <w:pPr>
              <w:jc w:val="center"/>
              <w:rPr>
                <w:b/>
                <w:bCs/>
              </w:rPr>
            </w:pPr>
            <w:r w:rsidRPr="009404C2">
              <w:rPr>
                <w:b/>
                <w:bCs/>
              </w:rPr>
              <w:t>Indicateurs de résultats</w:t>
            </w:r>
          </w:p>
        </w:tc>
        <w:tc>
          <w:tcPr>
            <w:tcW w:w="8505" w:type="dxa"/>
          </w:tcPr>
          <w:p w14:paraId="118E4B43" w14:textId="048ED927" w:rsidR="005B1B30" w:rsidRDefault="00982571" w:rsidP="00906905">
            <w:r>
              <w:t>Nombre d</w:t>
            </w:r>
            <w:r w:rsidR="00BD2330">
              <w:t>’apiculteurs</w:t>
            </w:r>
            <w:r>
              <w:t xml:space="preserve"> </w:t>
            </w:r>
            <w:r w:rsidR="00BD2330">
              <w:t xml:space="preserve">ayant reçu </w:t>
            </w:r>
            <w:r>
              <w:t xml:space="preserve">l’information </w:t>
            </w:r>
            <w:r w:rsidR="00BD2330">
              <w:t>sur la performance sanitaire ;</w:t>
            </w:r>
          </w:p>
          <w:p w14:paraId="07D86207" w14:textId="56DF032A" w:rsidR="00941FEB" w:rsidRDefault="00BD2330" w:rsidP="00906905">
            <w:r>
              <w:t>Nombre d’évènements réalisés en commun ;</w:t>
            </w:r>
          </w:p>
          <w:p w14:paraId="0B42D44A" w14:textId="6109CEC9" w:rsidR="00ED1EC9" w:rsidRDefault="00ED1EC9" w:rsidP="00906905">
            <w:r>
              <w:t>Nombre de formations sur les questions sanitaires</w:t>
            </w:r>
            <w:r w:rsidR="00BD2330">
              <w:t> ;</w:t>
            </w:r>
          </w:p>
          <w:p w14:paraId="415CB3EE" w14:textId="35B9DEF5" w:rsidR="00ED1EC9" w:rsidRDefault="06C8B1F0" w:rsidP="00906905">
            <w:r>
              <w:t>Nombre de fiches techniques et newsletters sur les questions sanitaires ;</w:t>
            </w:r>
          </w:p>
          <w:p w14:paraId="4B0BB062" w14:textId="436A00EF" w:rsidR="009404C2" w:rsidRDefault="00ED1EC9" w:rsidP="00906905">
            <w:r>
              <w:t>Résultats écrits des essais techniques sur le sanitaire</w:t>
            </w:r>
            <w:r w:rsidR="00DA507F">
              <w:t>.</w:t>
            </w:r>
          </w:p>
        </w:tc>
      </w:tr>
      <w:tr w:rsidR="0046607B" w14:paraId="7A25EBB5" w14:textId="77777777" w:rsidTr="2C519723">
        <w:tc>
          <w:tcPr>
            <w:tcW w:w="1560" w:type="dxa"/>
            <w:vAlign w:val="center"/>
          </w:tcPr>
          <w:p w14:paraId="672D1A3F" w14:textId="77777777" w:rsidR="0046607B" w:rsidRPr="009404C2" w:rsidRDefault="0046607B" w:rsidP="009404C2">
            <w:pPr>
              <w:jc w:val="center"/>
              <w:rPr>
                <w:b/>
                <w:bCs/>
              </w:rPr>
            </w:pPr>
            <w:r w:rsidRPr="009404C2">
              <w:rPr>
                <w:b/>
                <w:bCs/>
              </w:rPr>
              <w:t>Echelle(s) de travail</w:t>
            </w:r>
          </w:p>
        </w:tc>
        <w:tc>
          <w:tcPr>
            <w:tcW w:w="8505" w:type="dxa"/>
            <w:vAlign w:val="center"/>
          </w:tcPr>
          <w:p w14:paraId="4854D96C" w14:textId="20ECF46E" w:rsidR="009404C2" w:rsidRDefault="00DA507F" w:rsidP="00F67496">
            <w:pPr>
              <w:jc w:val="both"/>
            </w:pPr>
            <w:r>
              <w:t>Grand Est</w:t>
            </w:r>
          </w:p>
        </w:tc>
      </w:tr>
      <w:tr w:rsidR="0046607B" w14:paraId="14536EE1" w14:textId="77777777" w:rsidTr="2C519723">
        <w:tc>
          <w:tcPr>
            <w:tcW w:w="1560" w:type="dxa"/>
            <w:vAlign w:val="center"/>
          </w:tcPr>
          <w:p w14:paraId="1BD0790A" w14:textId="77777777" w:rsidR="0046607B" w:rsidRPr="009404C2" w:rsidRDefault="0046607B" w:rsidP="009404C2">
            <w:pPr>
              <w:jc w:val="center"/>
              <w:rPr>
                <w:b/>
                <w:bCs/>
              </w:rPr>
            </w:pPr>
            <w:r w:rsidRPr="009404C2">
              <w:rPr>
                <w:b/>
                <w:bCs/>
              </w:rPr>
              <w:t>Evaluation financière</w:t>
            </w:r>
          </w:p>
        </w:tc>
        <w:tc>
          <w:tcPr>
            <w:tcW w:w="8505" w:type="dxa"/>
            <w:vAlign w:val="center"/>
          </w:tcPr>
          <w:p w14:paraId="7ED93002" w14:textId="77777777" w:rsidR="001007FD" w:rsidRDefault="003877FD" w:rsidP="001007FD">
            <w:pPr>
              <w:jc w:val="both"/>
            </w:pPr>
            <w:r w:rsidRPr="00D54BFF">
              <w:t>Temps d’animation régional</w:t>
            </w:r>
            <w:r w:rsidR="00DA66E7" w:rsidRPr="00D54BFF">
              <w:t>e </w:t>
            </w:r>
            <w:r w:rsidR="00D54BFF">
              <w:t xml:space="preserve">estimé : </w:t>
            </w:r>
            <w:r w:rsidR="00DA66E7" w:rsidRPr="00D54BFF">
              <w:t>27 000€ et 37 000€ par an pour un 0.5 ETP</w:t>
            </w:r>
            <w:r w:rsidR="00DA66E7" w:rsidRPr="00D54BFF">
              <w:t>.</w:t>
            </w:r>
            <w:r w:rsidR="001007FD">
              <w:t xml:space="preserve"> </w:t>
            </w:r>
          </w:p>
          <w:p w14:paraId="27C038E5" w14:textId="693BAE7B" w:rsidR="00941FEB" w:rsidRDefault="001007FD" w:rsidP="00F67496">
            <w:pPr>
              <w:jc w:val="both"/>
            </w:pPr>
            <w:r>
              <w:t>Frais externe : 500€ (affiches…).</w:t>
            </w:r>
          </w:p>
        </w:tc>
      </w:tr>
      <w:tr w:rsidR="0046607B" w14:paraId="6294C436" w14:textId="77777777" w:rsidTr="2C519723">
        <w:tc>
          <w:tcPr>
            <w:tcW w:w="1560" w:type="dxa"/>
            <w:vAlign w:val="center"/>
          </w:tcPr>
          <w:p w14:paraId="5FD15E5D" w14:textId="77777777" w:rsidR="0046607B" w:rsidRPr="009404C2" w:rsidRDefault="0046607B" w:rsidP="009404C2">
            <w:pPr>
              <w:jc w:val="center"/>
              <w:rPr>
                <w:b/>
                <w:bCs/>
              </w:rPr>
            </w:pPr>
            <w:r w:rsidRPr="009404C2">
              <w:rPr>
                <w:b/>
                <w:bCs/>
              </w:rPr>
              <w:t>Pilote(s) de l’action</w:t>
            </w:r>
          </w:p>
        </w:tc>
        <w:tc>
          <w:tcPr>
            <w:tcW w:w="8505" w:type="dxa"/>
            <w:vAlign w:val="center"/>
          </w:tcPr>
          <w:p w14:paraId="7E1E1190" w14:textId="6DC3D9EF" w:rsidR="005B1B30" w:rsidRDefault="005B1B30" w:rsidP="00F67496">
            <w:r>
              <w:t xml:space="preserve">GDS apicole Grand Est et ADA grand Est pour les apiculteurs, GTV pour le réseau vétérinaire et DRAAF pour </w:t>
            </w:r>
            <w:r w:rsidR="003248BF">
              <w:t>leurs agents</w:t>
            </w:r>
            <w:r>
              <w:t xml:space="preserve"> et la DDPP.</w:t>
            </w:r>
          </w:p>
        </w:tc>
      </w:tr>
      <w:tr w:rsidR="0046607B" w14:paraId="0F11D460" w14:textId="77777777" w:rsidTr="2C519723">
        <w:tc>
          <w:tcPr>
            <w:tcW w:w="1560" w:type="dxa"/>
            <w:vAlign w:val="center"/>
          </w:tcPr>
          <w:p w14:paraId="0038320C" w14:textId="77777777" w:rsidR="0046607B" w:rsidRPr="009404C2" w:rsidRDefault="0046607B" w:rsidP="009404C2">
            <w:pPr>
              <w:jc w:val="center"/>
              <w:rPr>
                <w:b/>
                <w:bCs/>
              </w:rPr>
            </w:pPr>
            <w:r w:rsidRPr="009404C2">
              <w:rPr>
                <w:b/>
                <w:bCs/>
              </w:rPr>
              <w:t>Partenaires potentiels</w:t>
            </w:r>
          </w:p>
        </w:tc>
        <w:tc>
          <w:tcPr>
            <w:tcW w:w="8505" w:type="dxa"/>
            <w:vAlign w:val="center"/>
          </w:tcPr>
          <w:p w14:paraId="06E4B574" w14:textId="4AD31FA7" w:rsidR="009404C2" w:rsidRDefault="06C8B1F0" w:rsidP="00F67496">
            <w:r>
              <w:t>FRAGE, RBA, syndicats apicoles et les instituts de recherche (INRAE, ITSAP).</w:t>
            </w:r>
          </w:p>
        </w:tc>
      </w:tr>
      <w:bookmarkEnd w:id="0"/>
    </w:tbl>
    <w:p w14:paraId="3D58B185" w14:textId="77777777" w:rsidR="00F805B9" w:rsidRDefault="00F805B9" w:rsidP="009404C2"/>
    <w:p w14:paraId="7243B151" w14:textId="77777777" w:rsidR="006C7255" w:rsidRDefault="006C7255" w:rsidP="009404C2"/>
    <w:p w14:paraId="380547E8" w14:textId="77777777" w:rsidR="006C7255" w:rsidRDefault="006C7255" w:rsidP="009404C2"/>
    <w:p w14:paraId="164E46BE" w14:textId="77777777" w:rsidR="00F95E51" w:rsidRDefault="00F95E51" w:rsidP="009404C2"/>
    <w:p w14:paraId="1DD6C5A1" w14:textId="77777777" w:rsidR="00F95E51" w:rsidRDefault="00F95E51" w:rsidP="009404C2"/>
    <w:p w14:paraId="6A3AA3C4" w14:textId="77777777" w:rsidR="00F95E51" w:rsidRDefault="00F95E51" w:rsidP="009404C2"/>
    <w:p w14:paraId="116C576F" w14:textId="77777777" w:rsidR="00F95E51" w:rsidRDefault="00F95E51" w:rsidP="009404C2"/>
    <w:p w14:paraId="6246DF72" w14:textId="77777777" w:rsidR="00F95E51" w:rsidRDefault="00F95E51" w:rsidP="009404C2"/>
    <w:sectPr w:rsidR="00F95E51" w:rsidSect="00347F11">
      <w:pgSz w:w="11906" w:h="16838"/>
      <w:pgMar w:top="1417" w:right="1417" w:bottom="426"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4CEDE8" w14:textId="77777777" w:rsidR="008455E6" w:rsidRDefault="008455E6" w:rsidP="00347F11">
      <w:pPr>
        <w:spacing w:after="0" w:line="240" w:lineRule="auto"/>
      </w:pPr>
      <w:r>
        <w:separator/>
      </w:r>
    </w:p>
  </w:endnote>
  <w:endnote w:type="continuationSeparator" w:id="0">
    <w:p w14:paraId="2660CAD4" w14:textId="77777777" w:rsidR="008455E6" w:rsidRDefault="008455E6" w:rsidP="00347F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IDFont+F3">
    <w:altName w:val="Calibri"/>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0A02DC" w14:textId="77777777" w:rsidR="008455E6" w:rsidRDefault="008455E6" w:rsidP="00347F11">
      <w:pPr>
        <w:spacing w:after="0" w:line="240" w:lineRule="auto"/>
      </w:pPr>
      <w:r>
        <w:separator/>
      </w:r>
    </w:p>
  </w:footnote>
  <w:footnote w:type="continuationSeparator" w:id="0">
    <w:p w14:paraId="4AB55CDB" w14:textId="77777777" w:rsidR="008455E6" w:rsidRDefault="008455E6" w:rsidP="00347F1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FA4818"/>
    <w:multiLevelType w:val="hybridMultilevel"/>
    <w:tmpl w:val="1D86F534"/>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249A6BF7"/>
    <w:multiLevelType w:val="hybridMultilevel"/>
    <w:tmpl w:val="97DC60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55C0382"/>
    <w:multiLevelType w:val="multilevel"/>
    <w:tmpl w:val="829AC5CC"/>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3" w15:restartNumberingAfterBreak="0">
    <w:nsid w:val="25B82F96"/>
    <w:multiLevelType w:val="hybridMultilevel"/>
    <w:tmpl w:val="62DC10D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28BE3570"/>
    <w:multiLevelType w:val="multilevel"/>
    <w:tmpl w:val="B540FBBA"/>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5" w15:restartNumberingAfterBreak="0">
    <w:nsid w:val="2AC7574A"/>
    <w:multiLevelType w:val="hybridMultilevel"/>
    <w:tmpl w:val="D264F45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2D886962"/>
    <w:multiLevelType w:val="hybridMultilevel"/>
    <w:tmpl w:val="F800A22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FB147D5"/>
    <w:multiLevelType w:val="multilevel"/>
    <w:tmpl w:val="FCBC78AA"/>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8" w15:restartNumberingAfterBreak="0">
    <w:nsid w:val="47F36C40"/>
    <w:multiLevelType w:val="multilevel"/>
    <w:tmpl w:val="5F5A53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51753FC6"/>
    <w:multiLevelType w:val="hybridMultilevel"/>
    <w:tmpl w:val="C4241C80"/>
    <w:lvl w:ilvl="0" w:tplc="F9D61726">
      <w:start w:val="3"/>
      <w:numFmt w:val="bullet"/>
      <w:lvlText w:val="-"/>
      <w:lvlJc w:val="left"/>
      <w:pPr>
        <w:ind w:left="720" w:hanging="360"/>
      </w:pPr>
      <w:rPr>
        <w:rFonts w:ascii="Arial" w:eastAsia="Arial"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613455AF"/>
    <w:multiLevelType w:val="hybridMultilevel"/>
    <w:tmpl w:val="7E446872"/>
    <w:lvl w:ilvl="0" w:tplc="B2FC16D0">
      <w:start w:val="1000"/>
      <w:numFmt w:val="bullet"/>
      <w:lvlText w:val="-"/>
      <w:lvlJc w:val="left"/>
      <w:pPr>
        <w:ind w:left="904" w:hanging="360"/>
      </w:pPr>
      <w:rPr>
        <w:rFonts w:ascii="Aptos" w:eastAsiaTheme="minorHAnsi" w:hAnsi="Aptos" w:cstheme="minorBidi" w:hint="default"/>
      </w:rPr>
    </w:lvl>
    <w:lvl w:ilvl="1" w:tplc="040C0003" w:tentative="1">
      <w:start w:val="1"/>
      <w:numFmt w:val="bullet"/>
      <w:lvlText w:val="o"/>
      <w:lvlJc w:val="left"/>
      <w:pPr>
        <w:ind w:left="1624" w:hanging="360"/>
      </w:pPr>
      <w:rPr>
        <w:rFonts w:ascii="Courier New" w:hAnsi="Courier New" w:cs="Courier New" w:hint="default"/>
      </w:rPr>
    </w:lvl>
    <w:lvl w:ilvl="2" w:tplc="040C0005" w:tentative="1">
      <w:start w:val="1"/>
      <w:numFmt w:val="bullet"/>
      <w:lvlText w:val=""/>
      <w:lvlJc w:val="left"/>
      <w:pPr>
        <w:ind w:left="2344" w:hanging="360"/>
      </w:pPr>
      <w:rPr>
        <w:rFonts w:ascii="Wingdings" w:hAnsi="Wingdings" w:hint="default"/>
      </w:rPr>
    </w:lvl>
    <w:lvl w:ilvl="3" w:tplc="040C0001" w:tentative="1">
      <w:start w:val="1"/>
      <w:numFmt w:val="bullet"/>
      <w:lvlText w:val=""/>
      <w:lvlJc w:val="left"/>
      <w:pPr>
        <w:ind w:left="3064" w:hanging="360"/>
      </w:pPr>
      <w:rPr>
        <w:rFonts w:ascii="Symbol" w:hAnsi="Symbol" w:hint="default"/>
      </w:rPr>
    </w:lvl>
    <w:lvl w:ilvl="4" w:tplc="040C0003" w:tentative="1">
      <w:start w:val="1"/>
      <w:numFmt w:val="bullet"/>
      <w:lvlText w:val="o"/>
      <w:lvlJc w:val="left"/>
      <w:pPr>
        <w:ind w:left="3784" w:hanging="360"/>
      </w:pPr>
      <w:rPr>
        <w:rFonts w:ascii="Courier New" w:hAnsi="Courier New" w:cs="Courier New" w:hint="default"/>
      </w:rPr>
    </w:lvl>
    <w:lvl w:ilvl="5" w:tplc="040C0005" w:tentative="1">
      <w:start w:val="1"/>
      <w:numFmt w:val="bullet"/>
      <w:lvlText w:val=""/>
      <w:lvlJc w:val="left"/>
      <w:pPr>
        <w:ind w:left="4504" w:hanging="360"/>
      </w:pPr>
      <w:rPr>
        <w:rFonts w:ascii="Wingdings" w:hAnsi="Wingdings" w:hint="default"/>
      </w:rPr>
    </w:lvl>
    <w:lvl w:ilvl="6" w:tplc="040C0001" w:tentative="1">
      <w:start w:val="1"/>
      <w:numFmt w:val="bullet"/>
      <w:lvlText w:val=""/>
      <w:lvlJc w:val="left"/>
      <w:pPr>
        <w:ind w:left="5224" w:hanging="360"/>
      </w:pPr>
      <w:rPr>
        <w:rFonts w:ascii="Symbol" w:hAnsi="Symbol" w:hint="default"/>
      </w:rPr>
    </w:lvl>
    <w:lvl w:ilvl="7" w:tplc="040C0003" w:tentative="1">
      <w:start w:val="1"/>
      <w:numFmt w:val="bullet"/>
      <w:lvlText w:val="o"/>
      <w:lvlJc w:val="left"/>
      <w:pPr>
        <w:ind w:left="5944" w:hanging="360"/>
      </w:pPr>
      <w:rPr>
        <w:rFonts w:ascii="Courier New" w:hAnsi="Courier New" w:cs="Courier New" w:hint="default"/>
      </w:rPr>
    </w:lvl>
    <w:lvl w:ilvl="8" w:tplc="040C0005" w:tentative="1">
      <w:start w:val="1"/>
      <w:numFmt w:val="bullet"/>
      <w:lvlText w:val=""/>
      <w:lvlJc w:val="left"/>
      <w:pPr>
        <w:ind w:left="6664" w:hanging="360"/>
      </w:pPr>
      <w:rPr>
        <w:rFonts w:ascii="Wingdings" w:hAnsi="Wingdings" w:hint="default"/>
      </w:rPr>
    </w:lvl>
  </w:abstractNum>
  <w:abstractNum w:abstractNumId="11" w15:restartNumberingAfterBreak="0">
    <w:nsid w:val="6C3579EC"/>
    <w:multiLevelType w:val="multilevel"/>
    <w:tmpl w:val="665C5742"/>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num w:numId="1" w16cid:durableId="381559693">
    <w:abstractNumId w:val="6"/>
  </w:num>
  <w:num w:numId="2" w16cid:durableId="1413428365">
    <w:abstractNumId w:val="8"/>
  </w:num>
  <w:num w:numId="3" w16cid:durableId="143787876">
    <w:abstractNumId w:val="1"/>
  </w:num>
  <w:num w:numId="4" w16cid:durableId="1043747980">
    <w:abstractNumId w:val="2"/>
  </w:num>
  <w:num w:numId="5" w16cid:durableId="761879120">
    <w:abstractNumId w:val="7"/>
  </w:num>
  <w:num w:numId="6" w16cid:durableId="1203135955">
    <w:abstractNumId w:val="11"/>
  </w:num>
  <w:num w:numId="7" w16cid:durableId="745230689">
    <w:abstractNumId w:val="4"/>
  </w:num>
  <w:num w:numId="8" w16cid:durableId="297687073">
    <w:abstractNumId w:val="9"/>
  </w:num>
  <w:num w:numId="9" w16cid:durableId="1067192686">
    <w:abstractNumId w:val="10"/>
  </w:num>
  <w:num w:numId="10" w16cid:durableId="1132480480">
    <w:abstractNumId w:val="3"/>
  </w:num>
  <w:num w:numId="11" w16cid:durableId="113640234">
    <w:abstractNumId w:val="0"/>
  </w:num>
  <w:num w:numId="12" w16cid:durableId="117939425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0979"/>
    <w:rsid w:val="00033326"/>
    <w:rsid w:val="000A4723"/>
    <w:rsid w:val="000A55FB"/>
    <w:rsid w:val="000C764F"/>
    <w:rsid w:val="001007FD"/>
    <w:rsid w:val="00111B19"/>
    <w:rsid w:val="001208BD"/>
    <w:rsid w:val="00163969"/>
    <w:rsid w:val="001A2F5B"/>
    <w:rsid w:val="001D005B"/>
    <w:rsid w:val="001E08B7"/>
    <w:rsid w:val="002579F3"/>
    <w:rsid w:val="002742D5"/>
    <w:rsid w:val="00280010"/>
    <w:rsid w:val="002C31CA"/>
    <w:rsid w:val="003147B9"/>
    <w:rsid w:val="003248BF"/>
    <w:rsid w:val="00347F11"/>
    <w:rsid w:val="003877FD"/>
    <w:rsid w:val="003A0775"/>
    <w:rsid w:val="00430FE5"/>
    <w:rsid w:val="004506BE"/>
    <w:rsid w:val="0046607B"/>
    <w:rsid w:val="004B4464"/>
    <w:rsid w:val="00541D23"/>
    <w:rsid w:val="00582C69"/>
    <w:rsid w:val="005B1B30"/>
    <w:rsid w:val="00606F6A"/>
    <w:rsid w:val="00611CA4"/>
    <w:rsid w:val="006460ED"/>
    <w:rsid w:val="00660922"/>
    <w:rsid w:val="006C3600"/>
    <w:rsid w:val="006C7255"/>
    <w:rsid w:val="006F2CE2"/>
    <w:rsid w:val="006F6508"/>
    <w:rsid w:val="00732B9E"/>
    <w:rsid w:val="00743EA9"/>
    <w:rsid w:val="00755C76"/>
    <w:rsid w:val="008455E6"/>
    <w:rsid w:val="00892263"/>
    <w:rsid w:val="00893F45"/>
    <w:rsid w:val="008D09AA"/>
    <w:rsid w:val="0094020C"/>
    <w:rsid w:val="009404C2"/>
    <w:rsid w:val="00941FEB"/>
    <w:rsid w:val="0097047C"/>
    <w:rsid w:val="00982571"/>
    <w:rsid w:val="00987B85"/>
    <w:rsid w:val="009F0979"/>
    <w:rsid w:val="00A848C4"/>
    <w:rsid w:val="00A912EB"/>
    <w:rsid w:val="00B019D6"/>
    <w:rsid w:val="00B113C4"/>
    <w:rsid w:val="00B41149"/>
    <w:rsid w:val="00BD2330"/>
    <w:rsid w:val="00C1291E"/>
    <w:rsid w:val="00C2693E"/>
    <w:rsid w:val="00C301AD"/>
    <w:rsid w:val="00C93E5E"/>
    <w:rsid w:val="00C96609"/>
    <w:rsid w:val="00CD0813"/>
    <w:rsid w:val="00D232D7"/>
    <w:rsid w:val="00D413FE"/>
    <w:rsid w:val="00D4667D"/>
    <w:rsid w:val="00D54BFF"/>
    <w:rsid w:val="00D74F6A"/>
    <w:rsid w:val="00D87E85"/>
    <w:rsid w:val="00DA507F"/>
    <w:rsid w:val="00DA66E7"/>
    <w:rsid w:val="00DE546B"/>
    <w:rsid w:val="00E112FB"/>
    <w:rsid w:val="00E11527"/>
    <w:rsid w:val="00E34DD4"/>
    <w:rsid w:val="00E42090"/>
    <w:rsid w:val="00E638F1"/>
    <w:rsid w:val="00EB188F"/>
    <w:rsid w:val="00ED1EC9"/>
    <w:rsid w:val="00EE72CB"/>
    <w:rsid w:val="00F01F3C"/>
    <w:rsid w:val="00F13E52"/>
    <w:rsid w:val="00F44CCB"/>
    <w:rsid w:val="00F451F0"/>
    <w:rsid w:val="00F67496"/>
    <w:rsid w:val="00F805B9"/>
    <w:rsid w:val="00F9056A"/>
    <w:rsid w:val="00F9270A"/>
    <w:rsid w:val="00F95E51"/>
    <w:rsid w:val="00FA144F"/>
    <w:rsid w:val="00FD08DE"/>
    <w:rsid w:val="06C8B1F0"/>
    <w:rsid w:val="2C519723"/>
    <w:rsid w:val="348208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1C6DC5"/>
  <w15:chartTrackingRefBased/>
  <w15:docId w15:val="{BE3B260F-3414-47F0-BE9A-F778E2188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607B"/>
  </w:style>
  <w:style w:type="paragraph" w:styleId="Titre1">
    <w:name w:val="heading 1"/>
    <w:basedOn w:val="Normal"/>
    <w:next w:val="Normal"/>
    <w:link w:val="Titre1Car"/>
    <w:uiPriority w:val="9"/>
    <w:qFormat/>
    <w:rsid w:val="009F0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9F0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9F0979"/>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9F0979"/>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9F0979"/>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9F0979"/>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9F0979"/>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9F0979"/>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9F0979"/>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F0979"/>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9F0979"/>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9F0979"/>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9F0979"/>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9F0979"/>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9F0979"/>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9F0979"/>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9F0979"/>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9F0979"/>
    <w:rPr>
      <w:rFonts w:eastAsiaTheme="majorEastAsia" w:cstheme="majorBidi"/>
      <w:color w:val="272727" w:themeColor="text1" w:themeTint="D8"/>
    </w:rPr>
  </w:style>
  <w:style w:type="paragraph" w:styleId="Titre">
    <w:name w:val="Title"/>
    <w:basedOn w:val="Normal"/>
    <w:next w:val="Normal"/>
    <w:link w:val="TitreCar"/>
    <w:uiPriority w:val="10"/>
    <w:qFormat/>
    <w:rsid w:val="009F0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9F0979"/>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9F0979"/>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9F0979"/>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9F0979"/>
    <w:pPr>
      <w:spacing w:before="160"/>
      <w:jc w:val="center"/>
    </w:pPr>
    <w:rPr>
      <w:i/>
      <w:iCs/>
      <w:color w:val="404040" w:themeColor="text1" w:themeTint="BF"/>
    </w:rPr>
  </w:style>
  <w:style w:type="character" w:customStyle="1" w:styleId="CitationCar">
    <w:name w:val="Citation Car"/>
    <w:basedOn w:val="Policepardfaut"/>
    <w:link w:val="Citation"/>
    <w:uiPriority w:val="29"/>
    <w:rsid w:val="009F0979"/>
    <w:rPr>
      <w:i/>
      <w:iCs/>
      <w:color w:val="404040" w:themeColor="text1" w:themeTint="BF"/>
    </w:rPr>
  </w:style>
  <w:style w:type="paragraph" w:styleId="Paragraphedeliste">
    <w:name w:val="List Paragraph"/>
    <w:basedOn w:val="Normal"/>
    <w:uiPriority w:val="34"/>
    <w:qFormat/>
    <w:rsid w:val="009F0979"/>
    <w:pPr>
      <w:ind w:left="720"/>
      <w:contextualSpacing/>
    </w:pPr>
  </w:style>
  <w:style w:type="character" w:styleId="Accentuationintense">
    <w:name w:val="Intense Emphasis"/>
    <w:basedOn w:val="Policepardfaut"/>
    <w:uiPriority w:val="21"/>
    <w:qFormat/>
    <w:rsid w:val="009F0979"/>
    <w:rPr>
      <w:i/>
      <w:iCs/>
      <w:color w:val="0F4761" w:themeColor="accent1" w:themeShade="BF"/>
    </w:rPr>
  </w:style>
  <w:style w:type="paragraph" w:styleId="Citationintense">
    <w:name w:val="Intense Quote"/>
    <w:basedOn w:val="Normal"/>
    <w:next w:val="Normal"/>
    <w:link w:val="CitationintenseCar"/>
    <w:uiPriority w:val="30"/>
    <w:qFormat/>
    <w:rsid w:val="009F0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9F0979"/>
    <w:rPr>
      <w:i/>
      <w:iCs/>
      <w:color w:val="0F4761" w:themeColor="accent1" w:themeShade="BF"/>
    </w:rPr>
  </w:style>
  <w:style w:type="character" w:styleId="Rfrenceintense">
    <w:name w:val="Intense Reference"/>
    <w:basedOn w:val="Policepardfaut"/>
    <w:uiPriority w:val="32"/>
    <w:qFormat/>
    <w:rsid w:val="009F0979"/>
    <w:rPr>
      <w:b/>
      <w:bCs/>
      <w:smallCaps/>
      <w:color w:val="0F4761" w:themeColor="accent1" w:themeShade="BF"/>
      <w:spacing w:val="5"/>
    </w:rPr>
  </w:style>
  <w:style w:type="table" w:styleId="Grilledutableau">
    <w:name w:val="Table Grid"/>
    <w:basedOn w:val="TableauNormal"/>
    <w:uiPriority w:val="39"/>
    <w:rsid w:val="004660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aire">
    <w:name w:val="annotation text"/>
    <w:basedOn w:val="Normal"/>
    <w:link w:val="CommentaireCar"/>
    <w:uiPriority w:val="99"/>
    <w:unhideWhenUsed/>
    <w:rsid w:val="00D4667D"/>
    <w:pPr>
      <w:spacing w:after="0" w:line="240" w:lineRule="auto"/>
    </w:pPr>
    <w:rPr>
      <w:rFonts w:ascii="Arial" w:eastAsia="Arial" w:hAnsi="Arial" w:cs="Arial"/>
      <w:kern w:val="0"/>
      <w:sz w:val="20"/>
      <w:szCs w:val="20"/>
      <w:lang w:val="fr" w:eastAsia="fr-FR"/>
      <w14:ligatures w14:val="none"/>
    </w:rPr>
  </w:style>
  <w:style w:type="character" w:customStyle="1" w:styleId="CommentaireCar">
    <w:name w:val="Commentaire Car"/>
    <w:basedOn w:val="Policepardfaut"/>
    <w:link w:val="Commentaire"/>
    <w:uiPriority w:val="99"/>
    <w:rsid w:val="00D4667D"/>
    <w:rPr>
      <w:rFonts w:ascii="Arial" w:eastAsia="Arial" w:hAnsi="Arial" w:cs="Arial"/>
      <w:kern w:val="0"/>
      <w:sz w:val="20"/>
      <w:szCs w:val="20"/>
      <w:lang w:val="fr" w:eastAsia="fr-FR"/>
      <w14:ligatures w14:val="none"/>
    </w:rPr>
  </w:style>
  <w:style w:type="character" w:styleId="Marquedecommentaire">
    <w:name w:val="annotation reference"/>
    <w:basedOn w:val="Policepardfaut"/>
    <w:uiPriority w:val="99"/>
    <w:semiHidden/>
    <w:unhideWhenUsed/>
    <w:rsid w:val="00D4667D"/>
    <w:rPr>
      <w:sz w:val="16"/>
      <w:szCs w:val="16"/>
    </w:rPr>
  </w:style>
  <w:style w:type="character" w:styleId="Lienhypertexte">
    <w:name w:val="Hyperlink"/>
    <w:basedOn w:val="Policepardfaut"/>
    <w:uiPriority w:val="99"/>
    <w:unhideWhenUsed/>
    <w:rsid w:val="004B4464"/>
    <w:rPr>
      <w:color w:val="467886" w:themeColor="hyperlink"/>
      <w:u w:val="single"/>
    </w:rPr>
  </w:style>
  <w:style w:type="character" w:styleId="Mentionnonrsolue">
    <w:name w:val="Unresolved Mention"/>
    <w:basedOn w:val="Policepardfaut"/>
    <w:uiPriority w:val="99"/>
    <w:semiHidden/>
    <w:unhideWhenUsed/>
    <w:rsid w:val="004B4464"/>
    <w:rPr>
      <w:color w:val="605E5C"/>
      <w:shd w:val="clear" w:color="auto" w:fill="E1DFDD"/>
    </w:rPr>
  </w:style>
  <w:style w:type="character" w:styleId="Lienhypertextesuivivisit">
    <w:name w:val="FollowedHyperlink"/>
    <w:basedOn w:val="Policepardfaut"/>
    <w:uiPriority w:val="99"/>
    <w:semiHidden/>
    <w:unhideWhenUsed/>
    <w:rsid w:val="00B41149"/>
    <w:rPr>
      <w:color w:val="96607D" w:themeColor="followedHyperlink"/>
      <w:u w:val="single"/>
    </w:rPr>
  </w:style>
  <w:style w:type="character" w:customStyle="1" w:styleId="cf01">
    <w:name w:val="cf01"/>
    <w:basedOn w:val="Policepardfaut"/>
    <w:rsid w:val="00347F11"/>
    <w:rPr>
      <w:rFonts w:ascii="Segoe UI" w:hAnsi="Segoe UI" w:cs="Segoe UI" w:hint="default"/>
      <w:sz w:val="18"/>
      <w:szCs w:val="18"/>
    </w:rPr>
  </w:style>
  <w:style w:type="paragraph" w:styleId="En-tte">
    <w:name w:val="header"/>
    <w:basedOn w:val="Normal"/>
    <w:link w:val="En-tteCar"/>
    <w:uiPriority w:val="99"/>
    <w:unhideWhenUsed/>
    <w:rsid w:val="00347F11"/>
    <w:pPr>
      <w:tabs>
        <w:tab w:val="center" w:pos="4536"/>
        <w:tab w:val="right" w:pos="9072"/>
      </w:tabs>
      <w:spacing w:after="0" w:line="240" w:lineRule="auto"/>
    </w:pPr>
  </w:style>
  <w:style w:type="character" w:customStyle="1" w:styleId="En-tteCar">
    <w:name w:val="En-tête Car"/>
    <w:basedOn w:val="Policepardfaut"/>
    <w:link w:val="En-tte"/>
    <w:uiPriority w:val="99"/>
    <w:rsid w:val="00347F11"/>
  </w:style>
  <w:style w:type="paragraph" w:styleId="Pieddepage">
    <w:name w:val="footer"/>
    <w:basedOn w:val="Normal"/>
    <w:link w:val="PieddepageCar"/>
    <w:uiPriority w:val="99"/>
    <w:unhideWhenUsed/>
    <w:rsid w:val="00347F1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47F11"/>
  </w:style>
  <w:style w:type="paragraph" w:customStyle="1" w:styleId="Default">
    <w:name w:val="Default"/>
    <w:rsid w:val="006F2CE2"/>
    <w:pPr>
      <w:autoSpaceDE w:val="0"/>
      <w:autoSpaceDN w:val="0"/>
      <w:adjustRightInd w:val="0"/>
      <w:spacing w:after="0" w:line="240" w:lineRule="auto"/>
    </w:pPr>
    <w:rPr>
      <w:rFonts w:ascii="Aptos" w:hAnsi="Aptos" w:cs="Aptos"/>
      <w:color w:val="000000"/>
      <w:kern w:val="0"/>
      <w:sz w:val="24"/>
      <w:szCs w:val="24"/>
    </w:rPr>
  </w:style>
  <w:style w:type="paragraph" w:styleId="Objetducommentaire">
    <w:name w:val="annotation subject"/>
    <w:basedOn w:val="Commentaire"/>
    <w:next w:val="Commentaire"/>
    <w:link w:val="ObjetducommentaireCar"/>
    <w:uiPriority w:val="99"/>
    <w:semiHidden/>
    <w:unhideWhenUsed/>
    <w:rsid w:val="00F44CCB"/>
    <w:pPr>
      <w:spacing w:after="160"/>
    </w:pPr>
    <w:rPr>
      <w:rFonts w:asciiTheme="minorHAnsi" w:eastAsiaTheme="minorHAnsi" w:hAnsiTheme="minorHAnsi" w:cstheme="minorBidi"/>
      <w:b/>
      <w:bCs/>
      <w:kern w:val="2"/>
      <w:lang w:val="fr-FR" w:eastAsia="en-US"/>
      <w14:ligatures w14:val="standardContextual"/>
    </w:rPr>
  </w:style>
  <w:style w:type="character" w:customStyle="1" w:styleId="ObjetducommentaireCar">
    <w:name w:val="Objet du commentaire Car"/>
    <w:basedOn w:val="CommentaireCar"/>
    <w:link w:val="Objetducommentaire"/>
    <w:uiPriority w:val="99"/>
    <w:semiHidden/>
    <w:rsid w:val="00F44CCB"/>
    <w:rPr>
      <w:rFonts w:ascii="Arial" w:eastAsia="Arial" w:hAnsi="Arial" w:cs="Arial"/>
      <w:b/>
      <w:bCs/>
      <w:kern w:val="0"/>
      <w:sz w:val="20"/>
      <w:szCs w:val="20"/>
      <w:lang w:val="fr" w:eastAsia="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163636">
      <w:bodyDiv w:val="1"/>
      <w:marLeft w:val="0"/>
      <w:marRight w:val="0"/>
      <w:marTop w:val="0"/>
      <w:marBottom w:val="0"/>
      <w:divBdr>
        <w:top w:val="none" w:sz="0" w:space="0" w:color="auto"/>
        <w:left w:val="none" w:sz="0" w:space="0" w:color="auto"/>
        <w:bottom w:val="none" w:sz="0" w:space="0" w:color="auto"/>
        <w:right w:val="none" w:sz="0" w:space="0" w:color="auto"/>
      </w:divBdr>
    </w:div>
    <w:div w:id="925725293">
      <w:bodyDiv w:val="1"/>
      <w:marLeft w:val="0"/>
      <w:marRight w:val="0"/>
      <w:marTop w:val="0"/>
      <w:marBottom w:val="0"/>
      <w:divBdr>
        <w:top w:val="none" w:sz="0" w:space="0" w:color="auto"/>
        <w:left w:val="none" w:sz="0" w:space="0" w:color="auto"/>
        <w:bottom w:val="none" w:sz="0" w:space="0" w:color="auto"/>
        <w:right w:val="none" w:sz="0" w:space="0" w:color="auto"/>
      </w:divBdr>
    </w:div>
    <w:div w:id="1136487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a-grand-est.org/wp-content/uploads/2024/07/enquetes_pertes_hivernales_grand_est-Bilan-10-ans.pdf" TargetMode="External"/><Relationship Id="rId3" Type="http://schemas.openxmlformats.org/officeDocument/2006/relationships/settings" Target="settings.xml"/><Relationship Id="rId7" Type="http://schemas.openxmlformats.org/officeDocument/2006/relationships/hyperlink" Target="https://www.adafrance.org/wp-content/uploads/2023/03/Guide-MMA-INTERAPI-VF.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youtube.com/@adagrandest-apiculture/videos" TargetMode="External"/><Relationship Id="rId4" Type="http://schemas.openxmlformats.org/officeDocument/2006/relationships/webSettings" Target="webSettings.xml"/><Relationship Id="rId9" Type="http://schemas.openxmlformats.org/officeDocument/2006/relationships/hyperlink" Target="https://gdsa-grand-est.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722</Words>
  <Characters>3976</Characters>
  <Application>Microsoft Office Word</Application>
  <DocSecurity>0</DocSecurity>
  <Lines>33</Lines>
  <Paragraphs>9</Paragraphs>
  <ScaleCrop>false</ScaleCrop>
  <Company/>
  <LinksUpToDate>false</LinksUpToDate>
  <CharactersWithSpaces>4689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Marjorie Tonnelier ADAGE</dc:creator>
  <cp:keywords/>
  <dc:description/>
  <cp:lastModifiedBy>Mélanie CROMBECQUE</cp:lastModifiedBy>
  <cp:revision>42</cp:revision>
  <dcterms:created xsi:type="dcterms:W3CDTF">2024-07-25T13:55:00Z</dcterms:created>
  <dcterms:modified xsi:type="dcterms:W3CDTF">2024-09-17T12:24:00Z</dcterms:modified>
</cp:coreProperties>
</file>